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left="0" w:hanging="1405" w:hangingChars="500"/>
        <w:textAlignment w:val="auto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hanging="1405" w:hangingChars="500"/>
        <w:textAlignment w:val="auto"/>
        <w:rPr>
          <w:rFonts w:hint="eastAsia" w:ascii="宋体" w:hAnsi="宋体" w:cs="仿宋_GB2312"/>
          <w:b/>
          <w:bCs/>
          <w:sz w:val="24"/>
          <w:szCs w:val="24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pacing w:val="-6"/>
          <w:sz w:val="24"/>
          <w:szCs w:val="24"/>
          <w:lang w:val="en-US" w:eastAsia="zh-CN"/>
        </w:rPr>
        <w:t>对批发企业有《烟花爆竹经营许可实施办法》（2013年发布）第三十三条规定行为的处罚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tabs>
          <w:tab w:val="left" w:pos="7843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p>
      <w:pPr>
        <w:tabs>
          <w:tab w:val="left" w:pos="7843"/>
        </w:tabs>
        <w:rPr>
          <w:rFonts w:hint="eastAsia"/>
          <w:lang w:eastAsia="zh-CN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5F7D20"/>
    <w:rsid w:val="235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2019-11-06T08:16:00Z</dcterms:created>
  <dc:creator>小嘎嘎</dc:creator>
  <cp:lastModifiedBy>小嘎嘎</cp:lastModifiedBy>
  <dcterms:modified xsi:type="dcterms:W3CDTF">2019-11-06T08:17:04Z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