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对违反《中华人民共和国野生动物保护法》(2018年修正版)第三十七条第二款规定，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将从境外引进的野生动物放归野外环境的处罚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D27DF0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5DB110E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200A6A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